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A0D0" w14:textId="77777777" w:rsidR="00BB7E0F" w:rsidRDefault="00BB7E0F" w:rsidP="00BB7E0F">
      <w:pPr>
        <w:pStyle w:val="Heading1"/>
        <w:spacing w:before="124"/>
        <w:ind w:left="0"/>
        <w:rPr>
          <w:color w:val="000000" w:themeColor="text1"/>
        </w:rPr>
      </w:pPr>
      <w:r>
        <w:rPr>
          <w:color w:val="000000" w:themeColor="text1"/>
        </w:rPr>
        <w:t>UAMA Terms of Reference</w:t>
      </w:r>
    </w:p>
    <w:p w14:paraId="51D7D6A0" w14:textId="6609DCB3" w:rsidR="009138DB" w:rsidRPr="00BB7E0F" w:rsidRDefault="00872C1C" w:rsidP="00BB7E0F">
      <w:pPr>
        <w:pStyle w:val="Heading1"/>
        <w:spacing w:before="124"/>
        <w:ind w:left="0"/>
        <w:rPr>
          <w:color w:val="000000" w:themeColor="text1"/>
        </w:rPr>
      </w:pPr>
      <w:r w:rsidRPr="00BB7E0F">
        <w:rPr>
          <w:color w:val="000000" w:themeColor="text1"/>
        </w:rPr>
        <w:t xml:space="preserve">(Revised </w:t>
      </w:r>
      <w:r w:rsidR="004110F2" w:rsidRPr="00BB7E0F">
        <w:rPr>
          <w:color w:val="000000" w:themeColor="text1"/>
        </w:rPr>
        <w:t>March 2023</w:t>
      </w:r>
      <w:r w:rsidRPr="00BB7E0F">
        <w:rPr>
          <w:color w:val="000000" w:themeColor="text1"/>
        </w:rPr>
        <w:t>)</w:t>
      </w:r>
    </w:p>
    <w:p w14:paraId="6051AA04" w14:textId="77777777" w:rsidR="009138DB" w:rsidRPr="00BB7E0F" w:rsidRDefault="009138DB" w:rsidP="00BB7E0F">
      <w:pPr>
        <w:pStyle w:val="BodyText"/>
        <w:spacing w:before="0"/>
        <w:rPr>
          <w:b/>
          <w:color w:val="000000" w:themeColor="text1"/>
        </w:rPr>
      </w:pPr>
    </w:p>
    <w:p w14:paraId="37F438E4" w14:textId="77777777" w:rsidR="009138DB" w:rsidRPr="00BB7E0F" w:rsidRDefault="009138DB" w:rsidP="00BB7E0F">
      <w:pPr>
        <w:pStyle w:val="BodyText"/>
        <w:spacing w:before="8"/>
        <w:rPr>
          <w:b/>
          <w:color w:val="000000" w:themeColor="text1"/>
          <w:sz w:val="19"/>
        </w:rPr>
      </w:pPr>
    </w:p>
    <w:p w14:paraId="2F3749B6" w14:textId="77777777" w:rsidR="009138DB" w:rsidRPr="00BB7E0F" w:rsidRDefault="00872C1C" w:rsidP="00BB7E0F">
      <w:pPr>
        <w:rPr>
          <w:b/>
          <w:color w:val="000000" w:themeColor="text1"/>
        </w:rPr>
      </w:pPr>
      <w:r w:rsidRPr="00BB7E0F">
        <w:rPr>
          <w:b/>
          <w:color w:val="000000" w:themeColor="text1"/>
        </w:rPr>
        <w:t>Vision</w:t>
      </w:r>
    </w:p>
    <w:p w14:paraId="46B4E7CC" w14:textId="39A6989C" w:rsidR="009138DB" w:rsidRPr="00BB7E0F" w:rsidRDefault="009138DB" w:rsidP="00BB7E0F">
      <w:pPr>
        <w:pStyle w:val="BodyText"/>
        <w:spacing w:before="0"/>
        <w:rPr>
          <w:color w:val="000000" w:themeColor="text1"/>
        </w:rPr>
      </w:pPr>
    </w:p>
    <w:p w14:paraId="262A65B3" w14:textId="7AEB69CC" w:rsidR="00DC1663" w:rsidRPr="00BB7E0F" w:rsidRDefault="00DC1663" w:rsidP="00BB7E0F">
      <w:pPr>
        <w:pStyle w:val="BodyText"/>
        <w:spacing w:before="0"/>
        <w:rPr>
          <w:color w:val="000000" w:themeColor="text1"/>
        </w:rPr>
      </w:pPr>
      <w:r w:rsidRPr="00BB7E0F">
        <w:rPr>
          <w:color w:val="000000" w:themeColor="text1"/>
        </w:rPr>
        <w:t xml:space="preserve">Australian university art museums are leading and dynamic contributors to the intellectual and cultural life of the nation. In contributing to the academic and cultural sectors, they demonstrate best practice in visual arts, museum and curatorial research, </w:t>
      </w:r>
      <w:r w:rsidR="00BB7E0F" w:rsidRPr="00BB7E0F">
        <w:rPr>
          <w:color w:val="000000" w:themeColor="text1"/>
        </w:rPr>
        <w:t>production,</w:t>
      </w:r>
      <w:r w:rsidRPr="00BB7E0F">
        <w:rPr>
          <w:color w:val="000000" w:themeColor="text1"/>
        </w:rPr>
        <w:t xml:space="preserve"> and community engagement. As complex discourses published in visual form, University Art Museums Australia’s exhibitions advance university research and engagement agendas.</w:t>
      </w:r>
    </w:p>
    <w:p w14:paraId="7A4D6714" w14:textId="77777777" w:rsidR="00DC1663" w:rsidRPr="00BB7E0F" w:rsidRDefault="00DC1663" w:rsidP="00BB7E0F">
      <w:pPr>
        <w:pStyle w:val="BodyText"/>
        <w:spacing w:before="0"/>
        <w:rPr>
          <w:color w:val="000000" w:themeColor="text1"/>
        </w:rPr>
      </w:pPr>
    </w:p>
    <w:p w14:paraId="154BD1F9" w14:textId="438C595F" w:rsidR="004110F2" w:rsidRPr="00BB7E0F" w:rsidRDefault="00155F38" w:rsidP="00BB7E0F">
      <w:pPr>
        <w:pStyle w:val="BodyText"/>
        <w:spacing w:before="0"/>
        <w:rPr>
          <w:color w:val="000000" w:themeColor="text1"/>
        </w:rPr>
      </w:pPr>
      <w:r w:rsidRPr="00BB7E0F">
        <w:rPr>
          <w:color w:val="000000" w:themeColor="text1"/>
        </w:rPr>
        <w:t>On 24 August 2022, the</w:t>
      </w:r>
      <w:r w:rsidR="004110F2" w:rsidRPr="00BB7E0F">
        <w:rPr>
          <w:color w:val="000000" w:themeColor="text1"/>
        </w:rPr>
        <w:t xml:space="preserve"> International Council of Museums (ICOM) </w:t>
      </w:r>
      <w:r w:rsidRPr="00BB7E0F">
        <w:rPr>
          <w:color w:val="000000" w:themeColor="text1"/>
        </w:rPr>
        <w:t>released the following redefinition of a museum:</w:t>
      </w:r>
    </w:p>
    <w:p w14:paraId="27B82BE6" w14:textId="77777777" w:rsidR="004110F2" w:rsidRPr="00BB7E0F" w:rsidRDefault="004110F2" w:rsidP="00BB7E0F">
      <w:pPr>
        <w:pStyle w:val="BodyText"/>
        <w:spacing w:before="0"/>
        <w:rPr>
          <w:color w:val="000000" w:themeColor="text1"/>
        </w:rPr>
      </w:pPr>
    </w:p>
    <w:p w14:paraId="47397283" w14:textId="22603333" w:rsidR="004110F2" w:rsidRPr="00BB7E0F" w:rsidRDefault="004110F2" w:rsidP="00BB7E0F">
      <w:pPr>
        <w:pStyle w:val="BodyText"/>
        <w:spacing w:before="0"/>
        <w:rPr>
          <w:color w:val="000000" w:themeColor="text1"/>
        </w:rPr>
      </w:pPr>
      <w:r w:rsidRPr="00BB7E0F">
        <w:rPr>
          <w:color w:val="000000" w:themeColor="text1"/>
        </w:rPr>
        <w:t xml:space="preserve">“A museum is a not-for-profit, permanent institution in the service of society that </w:t>
      </w:r>
      <w:proofErr w:type="gramStart"/>
      <w:r w:rsidRPr="00BB7E0F">
        <w:rPr>
          <w:color w:val="000000" w:themeColor="text1"/>
        </w:rPr>
        <w:t>researches</w:t>
      </w:r>
      <w:proofErr w:type="gramEnd"/>
      <w:r w:rsidRPr="00BB7E0F">
        <w:rPr>
          <w:color w:val="000000" w:themeColor="text1"/>
        </w:rPr>
        <w:t xml:space="preserve">, collects, conserves, interprets and exhibits tangible and intangible heritage. Open to the public, accessible and inclusive, museums foster diversity and sustainability. They operate and communicate ethically, professionally and with the participation of communities, offering varied experiences for education, enjoyment, </w:t>
      </w:r>
      <w:r w:rsidR="00BB7E0F" w:rsidRPr="00BB7E0F">
        <w:rPr>
          <w:color w:val="000000" w:themeColor="text1"/>
        </w:rPr>
        <w:t>reflection,</w:t>
      </w:r>
      <w:r w:rsidRPr="00BB7E0F">
        <w:rPr>
          <w:color w:val="000000" w:themeColor="text1"/>
        </w:rPr>
        <w:t xml:space="preserve"> and knowledge sharing.”</w:t>
      </w:r>
    </w:p>
    <w:p w14:paraId="252D5FA4" w14:textId="77777777" w:rsidR="009138DB" w:rsidRPr="00BB7E0F" w:rsidRDefault="009138DB" w:rsidP="00BB7E0F">
      <w:pPr>
        <w:pStyle w:val="BodyText"/>
        <w:spacing w:before="7"/>
        <w:rPr>
          <w:color w:val="000000" w:themeColor="text1"/>
          <w:sz w:val="19"/>
        </w:rPr>
      </w:pPr>
    </w:p>
    <w:p w14:paraId="58BAEAF2" w14:textId="77777777" w:rsidR="009138DB" w:rsidRPr="00BB7E0F" w:rsidRDefault="00872C1C" w:rsidP="00BB7E0F">
      <w:pPr>
        <w:pStyle w:val="Heading1"/>
        <w:ind w:left="0"/>
        <w:rPr>
          <w:color w:val="000000" w:themeColor="text1"/>
        </w:rPr>
      </w:pPr>
      <w:r w:rsidRPr="00BB7E0F">
        <w:rPr>
          <w:color w:val="000000" w:themeColor="text1"/>
        </w:rPr>
        <w:t>Terms of Reference</w:t>
      </w:r>
    </w:p>
    <w:p w14:paraId="15D433FD" w14:textId="786A1C09" w:rsidR="009138DB" w:rsidRPr="00BB7E0F" w:rsidRDefault="00872C1C" w:rsidP="00BB7E0F">
      <w:pPr>
        <w:pStyle w:val="BodyText"/>
        <w:ind w:right="315"/>
        <w:rPr>
          <w:color w:val="000000" w:themeColor="text1"/>
        </w:rPr>
      </w:pPr>
      <w:r w:rsidRPr="00BB7E0F">
        <w:rPr>
          <w:color w:val="000000" w:themeColor="text1"/>
        </w:rPr>
        <w:t>University Art Museums Australia</w:t>
      </w:r>
      <w:r w:rsidR="004110F2" w:rsidRPr="00BB7E0F">
        <w:rPr>
          <w:color w:val="000000" w:themeColor="text1"/>
        </w:rPr>
        <w:t xml:space="preserve"> (UAMA)</w:t>
      </w:r>
      <w:r w:rsidRPr="00BB7E0F">
        <w:rPr>
          <w:color w:val="000000" w:themeColor="text1"/>
        </w:rPr>
        <w:t xml:space="preserve"> is an affiliated group of art museum professionals </w:t>
      </w:r>
      <w:r w:rsidR="004110F2" w:rsidRPr="00BB7E0F">
        <w:rPr>
          <w:color w:val="000000" w:themeColor="text1"/>
        </w:rPr>
        <w:t>whom</w:t>
      </w:r>
      <w:r w:rsidRPr="00BB7E0F">
        <w:rPr>
          <w:color w:val="000000" w:themeColor="text1"/>
        </w:rPr>
        <w:t xml:space="preserve"> each have direct responsibility for an Australian university art museum.</w:t>
      </w:r>
    </w:p>
    <w:p w14:paraId="08DB1DDF" w14:textId="243683F6" w:rsidR="009138DB" w:rsidRPr="00BB7E0F" w:rsidRDefault="00872C1C" w:rsidP="00BB7E0F">
      <w:pPr>
        <w:pStyle w:val="BodyText"/>
        <w:ind w:right="154"/>
        <w:rPr>
          <w:strike/>
          <w:color w:val="000000" w:themeColor="text1"/>
        </w:rPr>
      </w:pPr>
      <w:r w:rsidRPr="00BB7E0F">
        <w:rPr>
          <w:color w:val="000000" w:themeColor="text1"/>
        </w:rPr>
        <w:t>The Group will comprise directors or equivalent museum professionals from university art museums</w:t>
      </w:r>
      <w:r w:rsidR="004110F2" w:rsidRPr="00BB7E0F">
        <w:rPr>
          <w:color w:val="000000" w:themeColor="text1"/>
        </w:rPr>
        <w:t xml:space="preserve"> and institutions</w:t>
      </w:r>
      <w:r w:rsidRPr="00BB7E0F">
        <w:rPr>
          <w:color w:val="000000" w:themeColor="text1"/>
        </w:rPr>
        <w:t xml:space="preserve"> </w:t>
      </w:r>
      <w:r w:rsidR="004110F2" w:rsidRPr="00BB7E0F">
        <w:rPr>
          <w:color w:val="000000" w:themeColor="text1"/>
        </w:rPr>
        <w:t xml:space="preserve">who are responsible for </w:t>
      </w:r>
      <w:r w:rsidR="00FE01E1" w:rsidRPr="00BB7E0F">
        <w:rPr>
          <w:color w:val="000000" w:themeColor="text1"/>
        </w:rPr>
        <w:t xml:space="preserve">the </w:t>
      </w:r>
      <w:r w:rsidR="004110F2" w:rsidRPr="00BB7E0F">
        <w:rPr>
          <w:color w:val="000000" w:themeColor="text1"/>
        </w:rPr>
        <w:t>university art collection an</w:t>
      </w:r>
      <w:r w:rsidR="00BB7E0F" w:rsidRPr="00BB7E0F">
        <w:rPr>
          <w:color w:val="000000" w:themeColor="text1"/>
        </w:rPr>
        <w:t xml:space="preserve">d </w:t>
      </w:r>
      <w:r w:rsidRPr="00BB7E0F">
        <w:rPr>
          <w:color w:val="000000" w:themeColor="text1"/>
        </w:rPr>
        <w:t xml:space="preserve">conduct a public program of changing exhibitions in a professional art museum </w:t>
      </w:r>
      <w:r w:rsidR="004110F2" w:rsidRPr="00BB7E0F">
        <w:rPr>
          <w:color w:val="000000" w:themeColor="text1"/>
        </w:rPr>
        <w:t xml:space="preserve">or public space. </w:t>
      </w:r>
    </w:p>
    <w:p w14:paraId="5915A6E3" w14:textId="0100972E" w:rsidR="009138DB" w:rsidRPr="00BB7E0F" w:rsidRDefault="004110F2" w:rsidP="00BB7E0F">
      <w:pPr>
        <w:pStyle w:val="BodyText"/>
        <w:spacing w:before="119"/>
        <w:ind w:right="317"/>
        <w:rPr>
          <w:color w:val="000000" w:themeColor="text1"/>
        </w:rPr>
      </w:pPr>
      <w:r w:rsidRPr="00BB7E0F">
        <w:rPr>
          <w:color w:val="000000" w:themeColor="text1"/>
        </w:rPr>
        <w:t xml:space="preserve">UAMA member institutions </w:t>
      </w:r>
      <w:r w:rsidR="00872C1C" w:rsidRPr="00BB7E0F">
        <w:rPr>
          <w:color w:val="000000" w:themeColor="text1"/>
        </w:rPr>
        <w:t xml:space="preserve">develop and deliver aspects of the university’s teaching, </w:t>
      </w:r>
      <w:r w:rsidR="00BB7E0F" w:rsidRPr="00BB7E0F">
        <w:rPr>
          <w:color w:val="000000" w:themeColor="text1"/>
        </w:rPr>
        <w:t>research,</w:t>
      </w:r>
      <w:r w:rsidR="00872C1C" w:rsidRPr="00BB7E0F">
        <w:rPr>
          <w:color w:val="000000" w:themeColor="text1"/>
        </w:rPr>
        <w:t xml:space="preserve"> and community engagement objectives.</w:t>
      </w:r>
    </w:p>
    <w:p w14:paraId="7917CFB6" w14:textId="218877E6" w:rsidR="00C87CFC" w:rsidRPr="00BB7E0F" w:rsidRDefault="00872C1C" w:rsidP="00BB7E0F">
      <w:pPr>
        <w:pStyle w:val="BodyText"/>
        <w:ind w:right="349"/>
        <w:rPr>
          <w:strike/>
          <w:color w:val="000000" w:themeColor="text1"/>
        </w:rPr>
      </w:pPr>
      <w:r w:rsidRPr="00BB7E0F">
        <w:rPr>
          <w:color w:val="000000" w:themeColor="text1"/>
        </w:rPr>
        <w:t xml:space="preserve">UAMA member </w:t>
      </w:r>
      <w:r w:rsidR="004110F2" w:rsidRPr="00BB7E0F">
        <w:rPr>
          <w:color w:val="000000" w:themeColor="text1"/>
        </w:rPr>
        <w:t xml:space="preserve">institutions </w:t>
      </w:r>
      <w:r w:rsidRPr="00BB7E0F">
        <w:rPr>
          <w:color w:val="000000" w:themeColor="text1"/>
        </w:rPr>
        <w:t>will</w:t>
      </w:r>
      <w:r w:rsidR="004110F2" w:rsidRPr="00BB7E0F">
        <w:rPr>
          <w:color w:val="000000" w:themeColor="text1"/>
        </w:rPr>
        <w:t>:</w:t>
      </w:r>
    </w:p>
    <w:p w14:paraId="2063DE54" w14:textId="21C0816A" w:rsidR="004110F2" w:rsidRPr="00BB7E0F" w:rsidRDefault="00872C1C" w:rsidP="00BB7E0F">
      <w:pPr>
        <w:pStyle w:val="BodyText"/>
        <w:numPr>
          <w:ilvl w:val="0"/>
          <w:numId w:val="2"/>
        </w:numPr>
        <w:tabs>
          <w:tab w:val="left" w:pos="284"/>
        </w:tabs>
        <w:ind w:left="0" w:right="349" w:firstLine="0"/>
        <w:rPr>
          <w:color w:val="000000" w:themeColor="text1"/>
        </w:rPr>
      </w:pPr>
      <w:r w:rsidRPr="00BB7E0F">
        <w:rPr>
          <w:color w:val="000000" w:themeColor="text1"/>
        </w:rPr>
        <w:t xml:space="preserve">be eligible for cultural gifts register status under the federal cultural gifts program and will have clearly defined governance and recognised corporate </w:t>
      </w:r>
      <w:proofErr w:type="gramStart"/>
      <w:r w:rsidRPr="00BB7E0F">
        <w:rPr>
          <w:color w:val="000000" w:themeColor="text1"/>
        </w:rPr>
        <w:t>policies</w:t>
      </w:r>
      <w:r w:rsidR="00C87CFC" w:rsidRPr="00BB7E0F">
        <w:rPr>
          <w:color w:val="000000" w:themeColor="text1"/>
        </w:rPr>
        <w:t>;</w:t>
      </w:r>
      <w:proofErr w:type="gramEnd"/>
    </w:p>
    <w:p w14:paraId="398C07E5" w14:textId="6F938526" w:rsidR="009138DB" w:rsidRPr="00BB7E0F" w:rsidRDefault="00872C1C" w:rsidP="00BB7E0F">
      <w:pPr>
        <w:pStyle w:val="BodyText"/>
        <w:numPr>
          <w:ilvl w:val="0"/>
          <w:numId w:val="2"/>
        </w:numPr>
        <w:tabs>
          <w:tab w:val="left" w:pos="284"/>
        </w:tabs>
        <w:spacing w:before="121"/>
        <w:ind w:left="0" w:right="225" w:firstLine="0"/>
        <w:rPr>
          <w:color w:val="000000" w:themeColor="text1"/>
        </w:rPr>
      </w:pPr>
      <w:r w:rsidRPr="00BB7E0F">
        <w:rPr>
          <w:color w:val="000000" w:themeColor="text1"/>
        </w:rPr>
        <w:t xml:space="preserve">produce exhibitions and publications from primary research into visual arts culture and practice, </w:t>
      </w:r>
      <w:proofErr w:type="gramStart"/>
      <w:r w:rsidRPr="00BB7E0F">
        <w:rPr>
          <w:color w:val="000000" w:themeColor="text1"/>
        </w:rPr>
        <w:t>history</w:t>
      </w:r>
      <w:proofErr w:type="gramEnd"/>
      <w:r w:rsidRPr="00BB7E0F">
        <w:rPr>
          <w:color w:val="000000" w:themeColor="text1"/>
        </w:rPr>
        <w:t xml:space="preserve"> and innovation</w:t>
      </w:r>
      <w:r w:rsidR="00C87CFC" w:rsidRPr="00BB7E0F">
        <w:rPr>
          <w:color w:val="000000" w:themeColor="text1"/>
        </w:rPr>
        <w:t>;</w:t>
      </w:r>
      <w:r w:rsidR="00BB7E0F">
        <w:rPr>
          <w:color w:val="000000" w:themeColor="text1"/>
        </w:rPr>
        <w:t xml:space="preserve"> and</w:t>
      </w:r>
    </w:p>
    <w:p w14:paraId="0F8D87F1" w14:textId="63EBF22A" w:rsidR="004110F2" w:rsidRPr="00BB7E0F" w:rsidRDefault="004110F2" w:rsidP="00BB7E0F">
      <w:pPr>
        <w:pStyle w:val="BodyText"/>
        <w:numPr>
          <w:ilvl w:val="0"/>
          <w:numId w:val="2"/>
        </w:numPr>
        <w:tabs>
          <w:tab w:val="left" w:pos="284"/>
        </w:tabs>
        <w:spacing w:before="121"/>
        <w:ind w:left="0" w:right="225" w:firstLine="0"/>
        <w:rPr>
          <w:color w:val="000000" w:themeColor="text1"/>
        </w:rPr>
      </w:pPr>
      <w:r w:rsidRPr="00BB7E0F">
        <w:rPr>
          <w:color w:val="000000" w:themeColor="text1"/>
        </w:rPr>
        <w:t>have regular opening hours which are accessible to the public and are promoted accordingly, and/or have artwork displayed in publicly accessible areas of their parent institution.</w:t>
      </w:r>
    </w:p>
    <w:p w14:paraId="02D20D5D" w14:textId="77777777" w:rsidR="00C87CFC" w:rsidRPr="00BB7E0F" w:rsidRDefault="00C87CFC" w:rsidP="00BB7E0F">
      <w:pPr>
        <w:pStyle w:val="Heading1"/>
        <w:spacing w:before="120"/>
        <w:ind w:left="0"/>
        <w:rPr>
          <w:color w:val="000000" w:themeColor="text1"/>
        </w:rPr>
      </w:pPr>
    </w:p>
    <w:p w14:paraId="4C17A76B" w14:textId="7AE01D54" w:rsidR="009138DB" w:rsidRPr="00BB7E0F" w:rsidRDefault="00872C1C" w:rsidP="00BB7E0F">
      <w:pPr>
        <w:pStyle w:val="Heading1"/>
        <w:spacing w:before="120"/>
        <w:ind w:left="0"/>
        <w:rPr>
          <w:color w:val="000000" w:themeColor="text1"/>
        </w:rPr>
      </w:pPr>
      <w:r w:rsidRPr="00BB7E0F">
        <w:rPr>
          <w:color w:val="000000" w:themeColor="text1"/>
        </w:rPr>
        <w:t>Objectives</w:t>
      </w:r>
    </w:p>
    <w:p w14:paraId="427E9BCC" w14:textId="77777777" w:rsidR="009138DB" w:rsidRPr="00BB7E0F" w:rsidRDefault="00872C1C" w:rsidP="00BB7E0F">
      <w:pPr>
        <w:pStyle w:val="BodyText"/>
        <w:spacing w:before="118"/>
        <w:rPr>
          <w:color w:val="000000" w:themeColor="text1"/>
        </w:rPr>
      </w:pPr>
      <w:r w:rsidRPr="00BB7E0F">
        <w:rPr>
          <w:color w:val="000000" w:themeColor="text1"/>
        </w:rPr>
        <w:t>The agreed objectives of University Art Museums Australia are:</w:t>
      </w:r>
    </w:p>
    <w:p w14:paraId="0E2BB87B" w14:textId="6724B4DF" w:rsidR="009138DB" w:rsidRPr="00BB7E0F" w:rsidRDefault="00872C1C" w:rsidP="00BB7E0F">
      <w:pPr>
        <w:pStyle w:val="ListParagraph"/>
        <w:numPr>
          <w:ilvl w:val="0"/>
          <w:numId w:val="1"/>
        </w:numPr>
        <w:tabs>
          <w:tab w:val="left" w:pos="284"/>
        </w:tabs>
        <w:spacing w:before="121"/>
        <w:ind w:left="0" w:right="548" w:firstLine="0"/>
        <w:rPr>
          <w:color w:val="000000" w:themeColor="text1"/>
        </w:rPr>
      </w:pPr>
      <w:r w:rsidRPr="00BB7E0F">
        <w:rPr>
          <w:color w:val="000000" w:themeColor="text1"/>
        </w:rPr>
        <w:t xml:space="preserve">Research, promote and advocate on behalf of the Australian university art museum </w:t>
      </w:r>
      <w:proofErr w:type="gramStart"/>
      <w:r w:rsidRPr="00BB7E0F">
        <w:rPr>
          <w:color w:val="000000" w:themeColor="text1"/>
        </w:rPr>
        <w:t>sector</w:t>
      </w:r>
      <w:r w:rsidR="00C87CFC" w:rsidRPr="00BB7E0F">
        <w:rPr>
          <w:color w:val="000000" w:themeColor="text1"/>
        </w:rPr>
        <w:t>;</w:t>
      </w:r>
      <w:proofErr w:type="gramEnd"/>
    </w:p>
    <w:p w14:paraId="3E50F238" w14:textId="3DC03737" w:rsidR="009138DB" w:rsidRPr="00BB7E0F" w:rsidRDefault="00872C1C" w:rsidP="00BB7E0F">
      <w:pPr>
        <w:pStyle w:val="ListParagraph"/>
        <w:numPr>
          <w:ilvl w:val="0"/>
          <w:numId w:val="1"/>
        </w:numPr>
        <w:tabs>
          <w:tab w:val="left" w:pos="284"/>
        </w:tabs>
        <w:ind w:left="0" w:right="109" w:firstLine="0"/>
        <w:rPr>
          <w:color w:val="000000" w:themeColor="text1"/>
        </w:rPr>
      </w:pPr>
      <w:r w:rsidRPr="00BB7E0F">
        <w:rPr>
          <w:color w:val="000000" w:themeColor="text1"/>
        </w:rPr>
        <w:t xml:space="preserve">Lead an exchange of ideas, information, exhibitions and staff, and facilitate occasional seminars, conferences and forums that develop and promote the university art museum sector </w:t>
      </w:r>
      <w:r w:rsidRPr="00BB7E0F">
        <w:rPr>
          <w:color w:val="000000" w:themeColor="text1"/>
        </w:rPr>
        <w:lastRenderedPageBreak/>
        <w:t>and build strategic links with individuals and</w:t>
      </w:r>
      <w:r w:rsidRPr="00BB7E0F">
        <w:rPr>
          <w:color w:val="000000" w:themeColor="text1"/>
          <w:spacing w:val="-8"/>
        </w:rPr>
        <w:t xml:space="preserve"> </w:t>
      </w:r>
      <w:proofErr w:type="gramStart"/>
      <w:r w:rsidRPr="00BB7E0F">
        <w:rPr>
          <w:color w:val="000000" w:themeColor="text1"/>
        </w:rPr>
        <w:t>organisations</w:t>
      </w:r>
      <w:r w:rsidR="00C87CFC" w:rsidRPr="00BB7E0F">
        <w:rPr>
          <w:color w:val="000000" w:themeColor="text1"/>
        </w:rPr>
        <w:t>;</w:t>
      </w:r>
      <w:proofErr w:type="gramEnd"/>
    </w:p>
    <w:p w14:paraId="42691646" w14:textId="012A6F70" w:rsidR="009138DB" w:rsidRPr="00BB7E0F" w:rsidRDefault="00872C1C" w:rsidP="00BB7E0F">
      <w:pPr>
        <w:pStyle w:val="ListParagraph"/>
        <w:numPr>
          <w:ilvl w:val="0"/>
          <w:numId w:val="1"/>
        </w:numPr>
        <w:tabs>
          <w:tab w:val="left" w:pos="284"/>
        </w:tabs>
        <w:spacing w:before="121"/>
        <w:ind w:left="0" w:firstLine="0"/>
        <w:rPr>
          <w:color w:val="000000" w:themeColor="text1"/>
        </w:rPr>
      </w:pPr>
      <w:r w:rsidRPr="00BB7E0F">
        <w:rPr>
          <w:color w:val="000000" w:themeColor="text1"/>
        </w:rPr>
        <w:t>Develop and demonstrate best practice/professional standards for the</w:t>
      </w:r>
      <w:r w:rsidRPr="00BB7E0F">
        <w:rPr>
          <w:color w:val="000000" w:themeColor="text1"/>
          <w:spacing w:val="-17"/>
        </w:rPr>
        <w:t xml:space="preserve"> </w:t>
      </w:r>
      <w:proofErr w:type="gramStart"/>
      <w:r w:rsidRPr="00BB7E0F">
        <w:rPr>
          <w:color w:val="000000" w:themeColor="text1"/>
        </w:rPr>
        <w:t>sector</w:t>
      </w:r>
      <w:r w:rsidR="00C87CFC" w:rsidRPr="00BB7E0F">
        <w:rPr>
          <w:color w:val="000000" w:themeColor="text1"/>
        </w:rPr>
        <w:t>;</w:t>
      </w:r>
      <w:proofErr w:type="gramEnd"/>
    </w:p>
    <w:p w14:paraId="548863A7" w14:textId="65C5A0CC" w:rsidR="009138DB" w:rsidRPr="00BB7E0F" w:rsidRDefault="00872C1C" w:rsidP="00BB7E0F">
      <w:pPr>
        <w:pStyle w:val="ListParagraph"/>
        <w:numPr>
          <w:ilvl w:val="0"/>
          <w:numId w:val="1"/>
        </w:numPr>
        <w:tabs>
          <w:tab w:val="left" w:pos="284"/>
        </w:tabs>
        <w:ind w:left="0" w:right="215" w:firstLine="0"/>
        <w:rPr>
          <w:color w:val="000000" w:themeColor="text1"/>
        </w:rPr>
      </w:pPr>
      <w:r w:rsidRPr="00BB7E0F">
        <w:rPr>
          <w:color w:val="000000" w:themeColor="text1"/>
        </w:rPr>
        <w:t>Contribute to the public understanding of the significance of university art museums to the broader Australian museums</w:t>
      </w:r>
      <w:r w:rsidRPr="00BB7E0F">
        <w:rPr>
          <w:color w:val="000000" w:themeColor="text1"/>
          <w:spacing w:val="-5"/>
        </w:rPr>
        <w:t xml:space="preserve"> </w:t>
      </w:r>
      <w:proofErr w:type="gramStart"/>
      <w:r w:rsidRPr="00BB7E0F">
        <w:rPr>
          <w:color w:val="000000" w:themeColor="text1"/>
        </w:rPr>
        <w:t>sector</w:t>
      </w:r>
      <w:r w:rsidR="00C87CFC" w:rsidRPr="00BB7E0F">
        <w:rPr>
          <w:color w:val="000000" w:themeColor="text1"/>
        </w:rPr>
        <w:t>;</w:t>
      </w:r>
      <w:proofErr w:type="gramEnd"/>
    </w:p>
    <w:p w14:paraId="0F63F0E9" w14:textId="1F458B5C" w:rsidR="009138DB" w:rsidRPr="00BB7E0F" w:rsidRDefault="00872C1C" w:rsidP="00BB7E0F">
      <w:pPr>
        <w:pStyle w:val="ListParagraph"/>
        <w:numPr>
          <w:ilvl w:val="0"/>
          <w:numId w:val="1"/>
        </w:numPr>
        <w:tabs>
          <w:tab w:val="left" w:pos="284"/>
        </w:tabs>
        <w:spacing w:before="122" w:line="237" w:lineRule="auto"/>
        <w:ind w:left="0" w:right="147" w:firstLine="0"/>
        <w:rPr>
          <w:color w:val="000000" w:themeColor="text1"/>
        </w:rPr>
      </w:pPr>
      <w:r w:rsidRPr="00BB7E0F">
        <w:rPr>
          <w:color w:val="000000" w:themeColor="text1"/>
        </w:rPr>
        <w:t>Consider the broader political, economic, theoretical and professional contexts in which the group functions and improve and protect those contexts (advocacy and</w:t>
      </w:r>
      <w:r w:rsidRPr="00BB7E0F">
        <w:rPr>
          <w:color w:val="000000" w:themeColor="text1"/>
          <w:spacing w:val="-30"/>
        </w:rPr>
        <w:t xml:space="preserve"> </w:t>
      </w:r>
      <w:r w:rsidRPr="00BB7E0F">
        <w:rPr>
          <w:color w:val="000000" w:themeColor="text1"/>
        </w:rPr>
        <w:t>leadership</w:t>
      </w:r>
      <w:proofErr w:type="gramStart"/>
      <w:r w:rsidRPr="00BB7E0F">
        <w:rPr>
          <w:color w:val="000000" w:themeColor="text1"/>
        </w:rPr>
        <w:t>)</w:t>
      </w:r>
      <w:r w:rsidR="00C87CFC" w:rsidRPr="00BB7E0F">
        <w:rPr>
          <w:color w:val="000000" w:themeColor="text1"/>
        </w:rPr>
        <w:t>;</w:t>
      </w:r>
      <w:proofErr w:type="gramEnd"/>
    </w:p>
    <w:p w14:paraId="081DDC10" w14:textId="7F1019F6" w:rsidR="009138DB" w:rsidRPr="00BB7E0F" w:rsidRDefault="00872C1C" w:rsidP="00BB7E0F">
      <w:pPr>
        <w:pStyle w:val="ListParagraph"/>
        <w:numPr>
          <w:ilvl w:val="0"/>
          <w:numId w:val="1"/>
        </w:numPr>
        <w:tabs>
          <w:tab w:val="left" w:pos="284"/>
        </w:tabs>
        <w:spacing w:before="122"/>
        <w:ind w:left="0" w:right="981" w:firstLine="0"/>
        <w:rPr>
          <w:color w:val="000000" w:themeColor="text1"/>
        </w:rPr>
      </w:pPr>
      <w:r w:rsidRPr="00BB7E0F">
        <w:rPr>
          <w:color w:val="000000" w:themeColor="text1"/>
        </w:rPr>
        <w:t xml:space="preserve">Explore opportunities that may arise that meet the objectives of UAMA and its </w:t>
      </w:r>
      <w:proofErr w:type="gramStart"/>
      <w:r w:rsidRPr="00BB7E0F">
        <w:rPr>
          <w:color w:val="000000" w:themeColor="text1"/>
        </w:rPr>
        <w:t>members</w:t>
      </w:r>
      <w:r w:rsidR="00C87CFC" w:rsidRPr="00BB7E0F">
        <w:rPr>
          <w:color w:val="000000" w:themeColor="text1"/>
        </w:rPr>
        <w:t>;</w:t>
      </w:r>
      <w:proofErr w:type="gramEnd"/>
    </w:p>
    <w:p w14:paraId="39B235E1" w14:textId="2F4C269E" w:rsidR="009138DB" w:rsidRPr="00BB7E0F" w:rsidRDefault="00872C1C" w:rsidP="00BB7E0F">
      <w:pPr>
        <w:pStyle w:val="ListParagraph"/>
        <w:numPr>
          <w:ilvl w:val="0"/>
          <w:numId w:val="1"/>
        </w:numPr>
        <w:tabs>
          <w:tab w:val="left" w:pos="284"/>
        </w:tabs>
        <w:spacing w:before="124"/>
        <w:ind w:left="0" w:right="277" w:firstLine="0"/>
        <w:jc w:val="both"/>
        <w:rPr>
          <w:color w:val="000000" w:themeColor="text1"/>
        </w:rPr>
      </w:pPr>
      <w:r w:rsidRPr="00BB7E0F">
        <w:rPr>
          <w:color w:val="000000" w:themeColor="text1"/>
        </w:rPr>
        <w:t>Membership will constitute the director, or the equivalent museum professional,</w:t>
      </w:r>
      <w:r w:rsidRPr="00BB7E0F">
        <w:rPr>
          <w:color w:val="000000" w:themeColor="text1"/>
          <w:spacing w:val="-29"/>
        </w:rPr>
        <w:t xml:space="preserve"> </w:t>
      </w:r>
      <w:r w:rsidRPr="00BB7E0F">
        <w:rPr>
          <w:color w:val="000000" w:themeColor="text1"/>
        </w:rPr>
        <w:t>from Australian university art museums</w:t>
      </w:r>
      <w:r w:rsidR="004110F2" w:rsidRPr="00BB7E0F">
        <w:rPr>
          <w:color w:val="000000" w:themeColor="text1"/>
        </w:rPr>
        <w:t xml:space="preserve"> and institutions</w:t>
      </w:r>
      <w:r w:rsidRPr="00BB7E0F">
        <w:rPr>
          <w:color w:val="000000" w:themeColor="text1"/>
        </w:rPr>
        <w:t xml:space="preserve"> which meet the requirements of the Group’s Terms of</w:t>
      </w:r>
      <w:r w:rsidRPr="00BB7E0F">
        <w:rPr>
          <w:color w:val="000000" w:themeColor="text1"/>
          <w:spacing w:val="-1"/>
        </w:rPr>
        <w:t xml:space="preserve"> </w:t>
      </w:r>
      <w:proofErr w:type="gramStart"/>
      <w:r w:rsidRPr="00BB7E0F">
        <w:rPr>
          <w:color w:val="000000" w:themeColor="text1"/>
        </w:rPr>
        <w:t>Reference</w:t>
      </w:r>
      <w:r w:rsidR="00C87CFC" w:rsidRPr="00BB7E0F">
        <w:rPr>
          <w:color w:val="000000" w:themeColor="text1"/>
        </w:rPr>
        <w:t>;</w:t>
      </w:r>
      <w:proofErr w:type="gramEnd"/>
    </w:p>
    <w:p w14:paraId="4AD76983" w14:textId="050C8B63" w:rsidR="009138DB" w:rsidRPr="00BB7E0F" w:rsidRDefault="00872C1C" w:rsidP="00BB7E0F">
      <w:pPr>
        <w:pStyle w:val="ListParagraph"/>
        <w:numPr>
          <w:ilvl w:val="0"/>
          <w:numId w:val="1"/>
        </w:numPr>
        <w:tabs>
          <w:tab w:val="left" w:pos="284"/>
        </w:tabs>
        <w:spacing w:before="121"/>
        <w:ind w:left="0" w:right="554" w:firstLine="0"/>
        <w:rPr>
          <w:color w:val="000000" w:themeColor="text1"/>
        </w:rPr>
      </w:pPr>
      <w:r w:rsidRPr="00BB7E0F">
        <w:rPr>
          <w:color w:val="000000" w:themeColor="text1"/>
        </w:rPr>
        <w:t>An annual subscription, determined by members, will be payable to the Group. The annual subscription will assist the Group to deliver its</w:t>
      </w:r>
      <w:r w:rsidRPr="00BB7E0F">
        <w:rPr>
          <w:color w:val="000000" w:themeColor="text1"/>
          <w:spacing w:val="-16"/>
        </w:rPr>
        <w:t xml:space="preserve"> </w:t>
      </w:r>
      <w:r w:rsidRPr="00BB7E0F">
        <w:rPr>
          <w:color w:val="000000" w:themeColor="text1"/>
        </w:rPr>
        <w:t>objectives</w:t>
      </w:r>
      <w:r w:rsidR="00C87CFC" w:rsidRPr="00BB7E0F">
        <w:rPr>
          <w:color w:val="000000" w:themeColor="text1"/>
        </w:rPr>
        <w:t>; and</w:t>
      </w:r>
    </w:p>
    <w:p w14:paraId="44F79231" w14:textId="77777777" w:rsidR="009138DB" w:rsidRPr="00BB7E0F" w:rsidRDefault="00872C1C" w:rsidP="00BB7E0F">
      <w:pPr>
        <w:pStyle w:val="ListParagraph"/>
        <w:numPr>
          <w:ilvl w:val="0"/>
          <w:numId w:val="1"/>
        </w:numPr>
        <w:tabs>
          <w:tab w:val="left" w:pos="284"/>
        </w:tabs>
        <w:ind w:left="0" w:right="153" w:firstLine="0"/>
        <w:rPr>
          <w:color w:val="000000" w:themeColor="text1"/>
        </w:rPr>
      </w:pPr>
      <w:r w:rsidRPr="00BB7E0F">
        <w:rPr>
          <w:color w:val="000000" w:themeColor="text1"/>
        </w:rPr>
        <w:t>University Art Museums Australia directors or equivalent museum professionals may be invited to make an application to the Group for membership, and their acceptance will be subject to the Group’s</w:t>
      </w:r>
      <w:r w:rsidRPr="00BB7E0F">
        <w:rPr>
          <w:color w:val="000000" w:themeColor="text1"/>
          <w:spacing w:val="-5"/>
        </w:rPr>
        <w:t xml:space="preserve"> </w:t>
      </w:r>
      <w:r w:rsidRPr="00BB7E0F">
        <w:rPr>
          <w:color w:val="000000" w:themeColor="text1"/>
        </w:rPr>
        <w:t>endorsement.</w:t>
      </w:r>
    </w:p>
    <w:p w14:paraId="7FB27867" w14:textId="77777777" w:rsidR="00BB7E0F" w:rsidRPr="00BB7E0F" w:rsidRDefault="00BB7E0F" w:rsidP="00BB7E0F">
      <w:pPr>
        <w:pStyle w:val="Heading1"/>
        <w:spacing w:before="121"/>
        <w:ind w:left="0"/>
        <w:rPr>
          <w:color w:val="000000" w:themeColor="text1"/>
        </w:rPr>
      </w:pPr>
    </w:p>
    <w:p w14:paraId="68B04634" w14:textId="4750BEBF" w:rsidR="009138DB" w:rsidRPr="00BB7E0F" w:rsidRDefault="00872C1C" w:rsidP="00BB7E0F">
      <w:pPr>
        <w:pStyle w:val="Heading1"/>
        <w:spacing w:before="121"/>
        <w:ind w:left="0"/>
        <w:rPr>
          <w:color w:val="000000" w:themeColor="text1"/>
        </w:rPr>
      </w:pPr>
      <w:r w:rsidRPr="00BB7E0F">
        <w:rPr>
          <w:color w:val="000000" w:themeColor="text1"/>
        </w:rPr>
        <w:t>Governance</w:t>
      </w:r>
    </w:p>
    <w:p w14:paraId="4D822204" w14:textId="77777777" w:rsidR="009138DB" w:rsidRPr="00BB7E0F" w:rsidRDefault="00872C1C" w:rsidP="00BB7E0F">
      <w:pPr>
        <w:pStyle w:val="BodyText"/>
        <w:ind w:right="326"/>
        <w:rPr>
          <w:color w:val="000000" w:themeColor="text1"/>
        </w:rPr>
      </w:pPr>
      <w:r w:rsidRPr="00BB7E0F">
        <w:rPr>
          <w:color w:val="000000" w:themeColor="text1"/>
        </w:rPr>
        <w:t>The Group will appoint a Chair for a term of two years. Meetings will be hosted on a rotating basis by institutions within the Group; the Chair is not necessarily the host. Prior to the end of the appointed period the Group will call for nominations for a replacement Chair. Electronic records will be transferred at the end of each term to the office of the new Chair.</w:t>
      </w:r>
    </w:p>
    <w:p w14:paraId="145FC73A" w14:textId="77777777" w:rsidR="009138DB" w:rsidRPr="00BB7E0F" w:rsidRDefault="00872C1C" w:rsidP="00BB7E0F">
      <w:pPr>
        <w:pStyle w:val="BodyText"/>
        <w:spacing w:before="119"/>
        <w:rPr>
          <w:color w:val="000000" w:themeColor="text1"/>
        </w:rPr>
      </w:pPr>
      <w:r w:rsidRPr="00BB7E0F">
        <w:rPr>
          <w:color w:val="000000" w:themeColor="text1"/>
        </w:rPr>
        <w:t>The Chair will be responsible for:</w:t>
      </w:r>
    </w:p>
    <w:p w14:paraId="396AB265" w14:textId="77777777" w:rsidR="009138DB" w:rsidRPr="00BB7E0F" w:rsidRDefault="00872C1C" w:rsidP="00BB7E0F">
      <w:pPr>
        <w:pStyle w:val="ListParagraph"/>
        <w:numPr>
          <w:ilvl w:val="0"/>
          <w:numId w:val="1"/>
        </w:numPr>
        <w:tabs>
          <w:tab w:val="left" w:pos="284"/>
        </w:tabs>
        <w:ind w:left="0" w:firstLine="0"/>
        <w:rPr>
          <w:color w:val="000000" w:themeColor="text1"/>
        </w:rPr>
      </w:pPr>
      <w:r w:rsidRPr="00BB7E0F">
        <w:rPr>
          <w:color w:val="000000" w:themeColor="text1"/>
        </w:rPr>
        <w:t>Calling and running</w:t>
      </w:r>
      <w:r w:rsidRPr="00BB7E0F">
        <w:rPr>
          <w:color w:val="000000" w:themeColor="text1"/>
          <w:spacing w:val="-4"/>
        </w:rPr>
        <w:t xml:space="preserve"> </w:t>
      </w:r>
      <w:r w:rsidRPr="00BB7E0F">
        <w:rPr>
          <w:color w:val="000000" w:themeColor="text1"/>
        </w:rPr>
        <w:t>meetings</w:t>
      </w:r>
    </w:p>
    <w:p w14:paraId="4D4A9A9E" w14:textId="77777777" w:rsidR="009138DB" w:rsidRPr="00BB7E0F" w:rsidRDefault="00872C1C" w:rsidP="00BB7E0F">
      <w:pPr>
        <w:pStyle w:val="ListParagraph"/>
        <w:numPr>
          <w:ilvl w:val="0"/>
          <w:numId w:val="1"/>
        </w:numPr>
        <w:tabs>
          <w:tab w:val="left" w:pos="284"/>
        </w:tabs>
        <w:ind w:left="0" w:right="429" w:firstLine="0"/>
        <w:rPr>
          <w:color w:val="000000" w:themeColor="text1"/>
        </w:rPr>
      </w:pPr>
      <w:r w:rsidRPr="00BB7E0F">
        <w:rPr>
          <w:color w:val="000000" w:themeColor="text1"/>
        </w:rPr>
        <w:t>Calling for agenda items, formulating agendas and delivering minutes and associated documents</w:t>
      </w:r>
    </w:p>
    <w:p w14:paraId="421A75A4" w14:textId="77777777" w:rsidR="009138DB" w:rsidRPr="00BB7E0F" w:rsidRDefault="00872C1C" w:rsidP="00BB7E0F">
      <w:pPr>
        <w:pStyle w:val="ListParagraph"/>
        <w:numPr>
          <w:ilvl w:val="0"/>
          <w:numId w:val="1"/>
        </w:numPr>
        <w:tabs>
          <w:tab w:val="left" w:pos="284"/>
        </w:tabs>
        <w:spacing w:before="121"/>
        <w:ind w:left="0" w:firstLine="0"/>
        <w:rPr>
          <w:color w:val="000000" w:themeColor="text1"/>
        </w:rPr>
      </w:pPr>
      <w:r w:rsidRPr="00BB7E0F">
        <w:rPr>
          <w:color w:val="000000" w:themeColor="text1"/>
        </w:rPr>
        <w:t>Progressing items for action between</w:t>
      </w:r>
      <w:r w:rsidRPr="00BB7E0F">
        <w:rPr>
          <w:color w:val="000000" w:themeColor="text1"/>
          <w:spacing w:val="-10"/>
        </w:rPr>
        <w:t xml:space="preserve"> </w:t>
      </w:r>
      <w:r w:rsidRPr="00BB7E0F">
        <w:rPr>
          <w:color w:val="000000" w:themeColor="text1"/>
        </w:rPr>
        <w:t>meetings</w:t>
      </w:r>
    </w:p>
    <w:p w14:paraId="0C1FF10B" w14:textId="77777777" w:rsidR="009138DB" w:rsidRPr="00BB7E0F" w:rsidRDefault="00872C1C" w:rsidP="00BB7E0F">
      <w:pPr>
        <w:pStyle w:val="ListParagraph"/>
        <w:numPr>
          <w:ilvl w:val="0"/>
          <w:numId w:val="1"/>
        </w:numPr>
        <w:tabs>
          <w:tab w:val="left" w:pos="284"/>
        </w:tabs>
        <w:ind w:left="0" w:firstLine="0"/>
        <w:rPr>
          <w:color w:val="000000" w:themeColor="text1"/>
        </w:rPr>
      </w:pPr>
      <w:r w:rsidRPr="00BB7E0F">
        <w:rPr>
          <w:color w:val="000000" w:themeColor="text1"/>
        </w:rPr>
        <w:t>Acting as representative and spokesperson for the Group for the duration of the</w:t>
      </w:r>
      <w:r w:rsidRPr="00BB7E0F">
        <w:rPr>
          <w:color w:val="000000" w:themeColor="text1"/>
          <w:spacing w:val="-26"/>
        </w:rPr>
        <w:t xml:space="preserve"> </w:t>
      </w:r>
      <w:r w:rsidRPr="00BB7E0F">
        <w:rPr>
          <w:color w:val="000000" w:themeColor="text1"/>
        </w:rPr>
        <w:t>term.</w:t>
      </w:r>
    </w:p>
    <w:p w14:paraId="406EEC04" w14:textId="77777777" w:rsidR="009138DB" w:rsidRPr="00BB7E0F" w:rsidRDefault="00872C1C" w:rsidP="00BB7E0F">
      <w:pPr>
        <w:pStyle w:val="BodyText"/>
        <w:ind w:right="141"/>
        <w:rPr>
          <w:color w:val="000000" w:themeColor="text1"/>
        </w:rPr>
      </w:pPr>
      <w:r w:rsidRPr="00BB7E0F">
        <w:rPr>
          <w:color w:val="000000" w:themeColor="text1"/>
        </w:rPr>
        <w:t>The Chair will appoint an Administrative Officer to assist with responsibilities: producing agendas, taking minutes, setting meeting dates, facilitating communications and other duties as required.</w:t>
      </w:r>
    </w:p>
    <w:p w14:paraId="7A61380E" w14:textId="77777777" w:rsidR="009138DB" w:rsidRPr="00BB7E0F" w:rsidRDefault="00872C1C" w:rsidP="00BB7E0F">
      <w:pPr>
        <w:pStyle w:val="BodyText"/>
        <w:spacing w:before="119"/>
        <w:ind w:right="364"/>
        <w:rPr>
          <w:color w:val="000000" w:themeColor="text1"/>
        </w:rPr>
      </w:pPr>
      <w:r w:rsidRPr="00BB7E0F">
        <w:rPr>
          <w:color w:val="000000" w:themeColor="text1"/>
        </w:rPr>
        <w:t>The Chair’s university will provide infrastructure support for the Administrative Officer (office space, computer, etc).</w:t>
      </w:r>
    </w:p>
    <w:p w14:paraId="7EB072C9" w14:textId="77777777" w:rsidR="009138DB" w:rsidRPr="00BB7E0F" w:rsidRDefault="00872C1C" w:rsidP="00BB7E0F">
      <w:pPr>
        <w:pStyle w:val="BodyText"/>
        <w:ind w:right="262"/>
        <w:rPr>
          <w:color w:val="000000" w:themeColor="text1"/>
        </w:rPr>
      </w:pPr>
      <w:r w:rsidRPr="00BB7E0F">
        <w:rPr>
          <w:color w:val="000000" w:themeColor="text1"/>
        </w:rPr>
        <w:t>Meetings will be held twice per calendar year to coincide where possible with a major event in the host city.</w:t>
      </w:r>
    </w:p>
    <w:p w14:paraId="5230730B" w14:textId="77777777" w:rsidR="009138DB" w:rsidRPr="00BB7E0F" w:rsidRDefault="00872C1C" w:rsidP="00BB7E0F">
      <w:pPr>
        <w:pStyle w:val="BodyText"/>
        <w:rPr>
          <w:color w:val="000000" w:themeColor="text1"/>
        </w:rPr>
      </w:pPr>
      <w:r w:rsidRPr="00BB7E0F">
        <w:rPr>
          <w:color w:val="000000" w:themeColor="text1"/>
        </w:rPr>
        <w:t>The Treasurer will remain at a fixed institution.</w:t>
      </w:r>
    </w:p>
    <w:p w14:paraId="27BA47BC" w14:textId="77777777" w:rsidR="009138DB" w:rsidRPr="00BB7E0F" w:rsidRDefault="009138DB" w:rsidP="00BB7E0F">
      <w:pPr>
        <w:pStyle w:val="BodyText"/>
        <w:spacing w:before="0"/>
        <w:rPr>
          <w:color w:val="000000" w:themeColor="text1"/>
        </w:rPr>
      </w:pPr>
    </w:p>
    <w:p w14:paraId="305ECFDD" w14:textId="77777777" w:rsidR="009138DB" w:rsidRPr="00BB7E0F" w:rsidRDefault="009138DB" w:rsidP="00BB7E0F">
      <w:pPr>
        <w:pStyle w:val="BodyText"/>
        <w:spacing w:before="9"/>
        <w:rPr>
          <w:color w:val="000000" w:themeColor="text1"/>
          <w:sz w:val="19"/>
        </w:rPr>
      </w:pPr>
    </w:p>
    <w:p w14:paraId="40591F96" w14:textId="77777777" w:rsidR="009138DB" w:rsidRPr="00BB7E0F" w:rsidRDefault="00872C1C" w:rsidP="00BB7E0F">
      <w:pPr>
        <w:pStyle w:val="Heading1"/>
        <w:ind w:left="0"/>
        <w:rPr>
          <w:color w:val="000000" w:themeColor="text1"/>
        </w:rPr>
      </w:pPr>
      <w:r w:rsidRPr="00BB7E0F">
        <w:rPr>
          <w:color w:val="000000" w:themeColor="text1"/>
        </w:rPr>
        <w:t>Financials</w:t>
      </w:r>
    </w:p>
    <w:p w14:paraId="361D9037" w14:textId="77777777" w:rsidR="009138DB" w:rsidRPr="00BB7E0F" w:rsidRDefault="00872C1C" w:rsidP="00BB7E0F">
      <w:pPr>
        <w:pStyle w:val="BodyText"/>
        <w:ind w:right="292"/>
        <w:rPr>
          <w:color w:val="000000" w:themeColor="text1"/>
        </w:rPr>
      </w:pPr>
      <w:r w:rsidRPr="00BB7E0F">
        <w:rPr>
          <w:color w:val="000000" w:themeColor="text1"/>
        </w:rPr>
        <w:t xml:space="preserve">The Group will revise membership fees annually. Funding will be allocated to special projects - </w:t>
      </w:r>
      <w:r w:rsidRPr="00BB7E0F">
        <w:rPr>
          <w:color w:val="000000" w:themeColor="text1"/>
        </w:rPr>
        <w:lastRenderedPageBreak/>
        <w:t>for example, advocacy, research projects, website development.</w:t>
      </w:r>
    </w:p>
    <w:p w14:paraId="273255D7" w14:textId="66369F29" w:rsidR="009138DB" w:rsidRPr="00BB7E0F" w:rsidRDefault="00872C1C" w:rsidP="00BB7E0F">
      <w:pPr>
        <w:pStyle w:val="BodyText"/>
        <w:spacing w:before="123" w:line="237" w:lineRule="auto"/>
        <w:ind w:right="103"/>
        <w:rPr>
          <w:color w:val="000000" w:themeColor="text1"/>
        </w:rPr>
      </w:pPr>
      <w:r w:rsidRPr="00BB7E0F">
        <w:rPr>
          <w:color w:val="000000" w:themeColor="text1"/>
        </w:rPr>
        <w:t>UAMA will fund the Administrative Officer appointed by the Chair for 26 days per annum at HEG Level 4, plus cover travel costs to attend meetings.</w:t>
      </w:r>
    </w:p>
    <w:p w14:paraId="0326F723" w14:textId="77777777" w:rsidR="00251498" w:rsidRPr="00BB7E0F" w:rsidRDefault="00251498" w:rsidP="00BB7E0F">
      <w:pPr>
        <w:rPr>
          <w:b/>
          <w:color w:val="000000" w:themeColor="text1"/>
        </w:rPr>
      </w:pPr>
    </w:p>
    <w:p w14:paraId="08E3A554" w14:textId="186016B8" w:rsidR="00251498" w:rsidRPr="00BB7E0F" w:rsidRDefault="00251498" w:rsidP="00BB7E0F">
      <w:pPr>
        <w:rPr>
          <w:b/>
          <w:color w:val="000000" w:themeColor="text1"/>
        </w:rPr>
      </w:pPr>
      <w:r w:rsidRPr="00BB7E0F">
        <w:rPr>
          <w:b/>
          <w:color w:val="000000" w:themeColor="text1"/>
        </w:rPr>
        <w:t>Election of UAMA Chair</w:t>
      </w:r>
    </w:p>
    <w:p w14:paraId="39544299" w14:textId="77777777" w:rsidR="00251498" w:rsidRPr="00BB7E0F" w:rsidRDefault="00251498" w:rsidP="00BB7E0F">
      <w:pPr>
        <w:rPr>
          <w:b/>
          <w:color w:val="000000" w:themeColor="text1"/>
        </w:rPr>
      </w:pPr>
    </w:p>
    <w:p w14:paraId="204A300E" w14:textId="5A714AD5" w:rsidR="00251498" w:rsidRPr="00BB7E0F" w:rsidRDefault="00251498" w:rsidP="00BB7E0F">
      <w:pPr>
        <w:rPr>
          <w:color w:val="000000" w:themeColor="text1"/>
        </w:rPr>
      </w:pPr>
      <w:r w:rsidRPr="00BB7E0F">
        <w:rPr>
          <w:color w:val="000000" w:themeColor="text1"/>
        </w:rPr>
        <w:t xml:space="preserve">Election of the UAMA Chair shall be held every two years in conjunction with the biannual UAMA conference. </w:t>
      </w:r>
    </w:p>
    <w:p w14:paraId="1DEFE5A1" w14:textId="77777777" w:rsidR="00251498" w:rsidRPr="00BB7E0F" w:rsidRDefault="00251498" w:rsidP="00BB7E0F">
      <w:pPr>
        <w:rPr>
          <w:color w:val="000000" w:themeColor="text1"/>
        </w:rPr>
      </w:pPr>
    </w:p>
    <w:p w14:paraId="59225DD2" w14:textId="469A0648" w:rsidR="00251498" w:rsidRPr="00BB7E0F" w:rsidRDefault="00251498" w:rsidP="00BB7E0F">
      <w:pPr>
        <w:rPr>
          <w:color w:val="000000" w:themeColor="text1"/>
        </w:rPr>
      </w:pPr>
      <w:r w:rsidRPr="00BB7E0F">
        <w:rPr>
          <w:color w:val="000000" w:themeColor="text1"/>
        </w:rPr>
        <w:t xml:space="preserve">A person nominated to the position must have been a member of UAMA for a minimum of 18 months and have attended at least two conferences. </w:t>
      </w:r>
    </w:p>
    <w:p w14:paraId="697B1071" w14:textId="77777777" w:rsidR="00251498" w:rsidRPr="00BB7E0F" w:rsidRDefault="00251498" w:rsidP="00BB7E0F">
      <w:pPr>
        <w:rPr>
          <w:color w:val="000000" w:themeColor="text1"/>
        </w:rPr>
      </w:pPr>
    </w:p>
    <w:p w14:paraId="16761C98" w14:textId="1749136E" w:rsidR="00251498" w:rsidRPr="00BB7E0F" w:rsidRDefault="00251498" w:rsidP="00BB7E0F">
      <w:pPr>
        <w:rPr>
          <w:color w:val="000000" w:themeColor="text1"/>
        </w:rPr>
      </w:pPr>
      <w:r w:rsidRPr="00BB7E0F">
        <w:rPr>
          <w:color w:val="000000" w:themeColor="text1"/>
        </w:rPr>
        <w:t xml:space="preserve">Calls for nomination will be sent out 28 days ahead of the conference. </w:t>
      </w:r>
    </w:p>
    <w:p w14:paraId="7E98C38E" w14:textId="77777777" w:rsidR="00251498" w:rsidRPr="00BB7E0F" w:rsidRDefault="00251498" w:rsidP="00BB7E0F">
      <w:pPr>
        <w:rPr>
          <w:color w:val="000000" w:themeColor="text1"/>
        </w:rPr>
      </w:pPr>
    </w:p>
    <w:p w14:paraId="4C33A02D" w14:textId="3132A2B5" w:rsidR="00251498" w:rsidRPr="00BB7E0F" w:rsidRDefault="00251498" w:rsidP="00BB7E0F">
      <w:pPr>
        <w:rPr>
          <w:color w:val="000000" w:themeColor="text1"/>
        </w:rPr>
      </w:pPr>
      <w:r w:rsidRPr="00BB7E0F">
        <w:rPr>
          <w:color w:val="000000" w:themeColor="text1"/>
        </w:rPr>
        <w:t xml:space="preserve">All nominations will be sent to the Executive Officer and be received 14 days ahead of the conference. </w:t>
      </w:r>
    </w:p>
    <w:p w14:paraId="3795629E" w14:textId="77777777" w:rsidR="00251498" w:rsidRPr="00BB7E0F" w:rsidRDefault="00251498" w:rsidP="00BB7E0F">
      <w:pPr>
        <w:rPr>
          <w:color w:val="000000" w:themeColor="text1"/>
        </w:rPr>
      </w:pPr>
    </w:p>
    <w:p w14:paraId="7394B796" w14:textId="45931B91" w:rsidR="00251498" w:rsidRPr="00BB7E0F" w:rsidRDefault="00251498" w:rsidP="00BB7E0F">
      <w:pPr>
        <w:rPr>
          <w:color w:val="000000" w:themeColor="text1"/>
        </w:rPr>
      </w:pPr>
      <w:r w:rsidRPr="00BB7E0F">
        <w:rPr>
          <w:color w:val="000000" w:themeColor="text1"/>
        </w:rPr>
        <w:t xml:space="preserve">If there is more than one nomination the Executive Officer shall communicate the names of the candidates to the membership and call for a vote, with all votes to be cast within five days. </w:t>
      </w:r>
    </w:p>
    <w:p w14:paraId="6CC72CD3" w14:textId="77777777" w:rsidR="00251498" w:rsidRPr="00BB7E0F" w:rsidRDefault="00251498" w:rsidP="00BB7E0F">
      <w:pPr>
        <w:rPr>
          <w:color w:val="000000" w:themeColor="text1"/>
        </w:rPr>
      </w:pPr>
    </w:p>
    <w:p w14:paraId="2B53DC25" w14:textId="78F5122C" w:rsidR="00251498" w:rsidRPr="00BB7E0F" w:rsidRDefault="00251498" w:rsidP="00BB7E0F">
      <w:pPr>
        <w:rPr>
          <w:color w:val="000000" w:themeColor="text1"/>
        </w:rPr>
      </w:pPr>
      <w:r w:rsidRPr="00BB7E0F">
        <w:rPr>
          <w:color w:val="000000" w:themeColor="text1"/>
        </w:rPr>
        <w:t xml:space="preserve">To ensure anonymity, members vote by return email directly and confidentially to the Executive Officer and a nominated third party ‘presiding officer’ at least 48 hours ahead of UAMA conference.  </w:t>
      </w:r>
    </w:p>
    <w:p w14:paraId="5F4D70FB" w14:textId="77777777" w:rsidR="00251498" w:rsidRPr="00BB7E0F" w:rsidRDefault="00251498" w:rsidP="00BB7E0F">
      <w:pPr>
        <w:rPr>
          <w:color w:val="000000" w:themeColor="text1"/>
        </w:rPr>
      </w:pPr>
    </w:p>
    <w:p w14:paraId="4B314B96" w14:textId="300F8AD2" w:rsidR="00251498" w:rsidRPr="00BB7E0F" w:rsidRDefault="00251498" w:rsidP="00BB7E0F">
      <w:pPr>
        <w:rPr>
          <w:color w:val="000000" w:themeColor="text1"/>
        </w:rPr>
      </w:pPr>
      <w:r w:rsidRPr="00BB7E0F">
        <w:rPr>
          <w:color w:val="000000" w:themeColor="text1"/>
        </w:rPr>
        <w:t xml:space="preserve">The candidate with the largest number of votes – first past the post – shall be declared the winning candidate and announced during the conference under Items for Discussion and Decision.  </w:t>
      </w:r>
    </w:p>
    <w:p w14:paraId="0A72B861" w14:textId="77777777" w:rsidR="00251498" w:rsidRPr="00BB7E0F" w:rsidRDefault="00251498" w:rsidP="00BB7E0F">
      <w:pPr>
        <w:rPr>
          <w:color w:val="000000" w:themeColor="text1"/>
        </w:rPr>
      </w:pPr>
    </w:p>
    <w:p w14:paraId="3D2D92A8" w14:textId="38F42D18" w:rsidR="00251498" w:rsidRPr="00BB7E0F" w:rsidRDefault="00251498" w:rsidP="00BB7E0F">
      <w:pPr>
        <w:rPr>
          <w:color w:val="000000" w:themeColor="text1"/>
        </w:rPr>
      </w:pPr>
      <w:r w:rsidRPr="00BB7E0F">
        <w:rPr>
          <w:color w:val="000000" w:themeColor="text1"/>
        </w:rPr>
        <w:t xml:space="preserve">Incumbent Chair can serve up to [2] two-year terms in the role.  </w:t>
      </w:r>
    </w:p>
    <w:p w14:paraId="48DA8B83" w14:textId="77777777" w:rsidR="00251498" w:rsidRPr="00BB7E0F" w:rsidRDefault="00251498" w:rsidP="00251498">
      <w:pPr>
        <w:pStyle w:val="BodyText"/>
        <w:spacing w:before="123" w:line="237" w:lineRule="auto"/>
        <w:ind w:left="142" w:right="103"/>
        <w:rPr>
          <w:color w:val="000000" w:themeColor="text1"/>
        </w:rPr>
      </w:pPr>
    </w:p>
    <w:sectPr w:rsidR="00251498" w:rsidRPr="00BB7E0F">
      <w:headerReference w:type="default" r:id="rId7"/>
      <w:pgSz w:w="12240" w:h="15840"/>
      <w:pgMar w:top="1700" w:right="1720" w:bottom="880" w:left="1680" w:header="1481"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2C9D" w14:textId="77777777" w:rsidR="00872C1C" w:rsidRDefault="00872C1C">
      <w:r>
        <w:separator/>
      </w:r>
    </w:p>
  </w:endnote>
  <w:endnote w:type="continuationSeparator" w:id="0">
    <w:p w14:paraId="6AE5A695" w14:textId="77777777" w:rsidR="00872C1C" w:rsidRDefault="0087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3166" w14:textId="77777777" w:rsidR="00872C1C" w:rsidRDefault="00872C1C">
      <w:r>
        <w:separator/>
      </w:r>
    </w:p>
  </w:footnote>
  <w:footnote w:type="continuationSeparator" w:id="0">
    <w:p w14:paraId="0FAFD0DD" w14:textId="77777777" w:rsidR="00872C1C" w:rsidRDefault="0087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C40D" w14:textId="35923F7A" w:rsidR="009138DB" w:rsidRDefault="009138DB">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3F6"/>
    <w:multiLevelType w:val="hybridMultilevel"/>
    <w:tmpl w:val="A3080B74"/>
    <w:lvl w:ilvl="0" w:tplc="10226386">
      <w:start w:val="1"/>
      <w:numFmt w:val="lowerLetter"/>
      <w:lvlText w:val="%1)"/>
      <w:lvlJc w:val="left"/>
      <w:pPr>
        <w:ind w:left="479" w:hanging="36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 w15:restartNumberingAfterBreak="0">
    <w:nsid w:val="70720A6D"/>
    <w:multiLevelType w:val="hybridMultilevel"/>
    <w:tmpl w:val="33B4E826"/>
    <w:lvl w:ilvl="0" w:tplc="9098A482">
      <w:numFmt w:val="bullet"/>
      <w:lvlText w:val="-"/>
      <w:lvlJc w:val="left"/>
      <w:pPr>
        <w:ind w:left="838" w:hanging="360"/>
      </w:pPr>
      <w:rPr>
        <w:rFonts w:ascii="Times New Roman" w:eastAsia="Times New Roman" w:hAnsi="Times New Roman" w:cs="Times New Roman" w:hint="default"/>
        <w:w w:val="100"/>
        <w:sz w:val="22"/>
        <w:szCs w:val="22"/>
        <w:lang w:val="en-AU" w:eastAsia="en-AU" w:bidi="en-AU"/>
      </w:rPr>
    </w:lvl>
    <w:lvl w:ilvl="1" w:tplc="90CA42F8">
      <w:numFmt w:val="bullet"/>
      <w:lvlText w:val="•"/>
      <w:lvlJc w:val="left"/>
      <w:pPr>
        <w:ind w:left="1640" w:hanging="360"/>
      </w:pPr>
      <w:rPr>
        <w:rFonts w:hint="default"/>
        <w:lang w:val="en-AU" w:eastAsia="en-AU" w:bidi="en-AU"/>
      </w:rPr>
    </w:lvl>
    <w:lvl w:ilvl="2" w:tplc="A018486C">
      <w:numFmt w:val="bullet"/>
      <w:lvlText w:val="•"/>
      <w:lvlJc w:val="left"/>
      <w:pPr>
        <w:ind w:left="2440" w:hanging="360"/>
      </w:pPr>
      <w:rPr>
        <w:rFonts w:hint="default"/>
        <w:lang w:val="en-AU" w:eastAsia="en-AU" w:bidi="en-AU"/>
      </w:rPr>
    </w:lvl>
    <w:lvl w:ilvl="3" w:tplc="EC9E01A2">
      <w:numFmt w:val="bullet"/>
      <w:lvlText w:val="•"/>
      <w:lvlJc w:val="left"/>
      <w:pPr>
        <w:ind w:left="3240" w:hanging="360"/>
      </w:pPr>
      <w:rPr>
        <w:rFonts w:hint="default"/>
        <w:lang w:val="en-AU" w:eastAsia="en-AU" w:bidi="en-AU"/>
      </w:rPr>
    </w:lvl>
    <w:lvl w:ilvl="4" w:tplc="DD20AF92">
      <w:numFmt w:val="bullet"/>
      <w:lvlText w:val="•"/>
      <w:lvlJc w:val="left"/>
      <w:pPr>
        <w:ind w:left="4040" w:hanging="360"/>
      </w:pPr>
      <w:rPr>
        <w:rFonts w:hint="default"/>
        <w:lang w:val="en-AU" w:eastAsia="en-AU" w:bidi="en-AU"/>
      </w:rPr>
    </w:lvl>
    <w:lvl w:ilvl="5" w:tplc="FDC404E0">
      <w:numFmt w:val="bullet"/>
      <w:lvlText w:val="•"/>
      <w:lvlJc w:val="left"/>
      <w:pPr>
        <w:ind w:left="4840" w:hanging="360"/>
      </w:pPr>
      <w:rPr>
        <w:rFonts w:hint="default"/>
        <w:lang w:val="en-AU" w:eastAsia="en-AU" w:bidi="en-AU"/>
      </w:rPr>
    </w:lvl>
    <w:lvl w:ilvl="6" w:tplc="64440B78">
      <w:numFmt w:val="bullet"/>
      <w:lvlText w:val="•"/>
      <w:lvlJc w:val="left"/>
      <w:pPr>
        <w:ind w:left="5640" w:hanging="360"/>
      </w:pPr>
      <w:rPr>
        <w:rFonts w:hint="default"/>
        <w:lang w:val="en-AU" w:eastAsia="en-AU" w:bidi="en-AU"/>
      </w:rPr>
    </w:lvl>
    <w:lvl w:ilvl="7" w:tplc="73F2AD6E">
      <w:numFmt w:val="bullet"/>
      <w:lvlText w:val="•"/>
      <w:lvlJc w:val="left"/>
      <w:pPr>
        <w:ind w:left="6440" w:hanging="360"/>
      </w:pPr>
      <w:rPr>
        <w:rFonts w:hint="default"/>
        <w:lang w:val="en-AU" w:eastAsia="en-AU" w:bidi="en-AU"/>
      </w:rPr>
    </w:lvl>
    <w:lvl w:ilvl="8" w:tplc="BF546CFE">
      <w:numFmt w:val="bullet"/>
      <w:lvlText w:val="•"/>
      <w:lvlJc w:val="left"/>
      <w:pPr>
        <w:ind w:left="7240" w:hanging="360"/>
      </w:pPr>
      <w:rPr>
        <w:rFonts w:hint="default"/>
        <w:lang w:val="en-AU" w:eastAsia="en-AU" w:bidi="en-AU"/>
      </w:rPr>
    </w:lvl>
  </w:abstractNum>
  <w:num w:numId="1" w16cid:durableId="1657300236">
    <w:abstractNumId w:val="1"/>
  </w:num>
  <w:num w:numId="2" w16cid:durableId="179683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38DB"/>
    <w:rsid w:val="00155F38"/>
    <w:rsid w:val="00251498"/>
    <w:rsid w:val="004110F2"/>
    <w:rsid w:val="0052071D"/>
    <w:rsid w:val="00872C1C"/>
    <w:rsid w:val="009138DB"/>
    <w:rsid w:val="00945134"/>
    <w:rsid w:val="00BB7E0F"/>
    <w:rsid w:val="00C87CFC"/>
    <w:rsid w:val="00D24106"/>
    <w:rsid w:val="00DC1663"/>
    <w:rsid w:val="00FE0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94D9"/>
  <w15:docId w15:val="{C572867D-3961-0D40-99FA-A0F67D9F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style>
  <w:style w:type="paragraph" w:styleId="ListParagraph">
    <w:name w:val="List Paragraph"/>
    <w:basedOn w:val="Normal"/>
    <w:uiPriority w:val="1"/>
    <w:qFormat/>
    <w:pPr>
      <w:spacing w:before="120"/>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1498"/>
    <w:pPr>
      <w:tabs>
        <w:tab w:val="center" w:pos="4680"/>
        <w:tab w:val="right" w:pos="9360"/>
      </w:tabs>
    </w:pPr>
  </w:style>
  <w:style w:type="character" w:customStyle="1" w:styleId="HeaderChar">
    <w:name w:val="Header Char"/>
    <w:basedOn w:val="DefaultParagraphFont"/>
    <w:link w:val="Header"/>
    <w:uiPriority w:val="99"/>
    <w:rsid w:val="00251498"/>
    <w:rPr>
      <w:rFonts w:ascii="Calibri" w:eastAsia="Calibri" w:hAnsi="Calibri" w:cs="Calibri"/>
      <w:lang w:val="en-AU" w:eastAsia="en-AU" w:bidi="en-AU"/>
    </w:rPr>
  </w:style>
  <w:style w:type="paragraph" w:styleId="Footer">
    <w:name w:val="footer"/>
    <w:basedOn w:val="Normal"/>
    <w:link w:val="FooterChar"/>
    <w:uiPriority w:val="99"/>
    <w:unhideWhenUsed/>
    <w:rsid w:val="00251498"/>
    <w:pPr>
      <w:tabs>
        <w:tab w:val="center" w:pos="4680"/>
        <w:tab w:val="right" w:pos="9360"/>
      </w:tabs>
    </w:pPr>
  </w:style>
  <w:style w:type="character" w:customStyle="1" w:styleId="FooterChar">
    <w:name w:val="Footer Char"/>
    <w:basedOn w:val="DefaultParagraphFont"/>
    <w:link w:val="Footer"/>
    <w:uiPriority w:val="99"/>
    <w:rsid w:val="00251498"/>
    <w:rPr>
      <w:rFonts w:ascii="Calibri" w:eastAsia="Calibri" w:hAnsi="Calibri" w:cs="Calibri"/>
      <w:lang w:val="en-AU" w:eastAsia="en-AU" w:bidi="en-AU"/>
    </w:rPr>
  </w:style>
  <w:style w:type="paragraph" w:styleId="Revision">
    <w:name w:val="Revision"/>
    <w:hidden/>
    <w:uiPriority w:val="99"/>
    <w:semiHidden/>
    <w:rsid w:val="004110F2"/>
    <w:pPr>
      <w:widowControl/>
      <w:autoSpaceDE/>
      <w:autoSpaceDN/>
    </w:pPr>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UAMA Terms of Reference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UAMA Terms of Reference </dc:title>
  <dc:creator>config</dc:creator>
  <cp:lastModifiedBy>Carrie Mc.Carthy</cp:lastModifiedBy>
  <cp:revision>2</cp:revision>
  <dcterms:created xsi:type="dcterms:W3CDTF">2024-06-06T03:31:00Z</dcterms:created>
  <dcterms:modified xsi:type="dcterms:W3CDTF">2024-06-06T03:31:00Z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Acrobat PDFMaker 11 for Word</vt:lpwstr>
  </property>
  <property fmtid="{D5CDD505-2E9C-101B-9397-08002B2CF9AE}" pid="4" name="LastSaved">
    <vt:filetime>2019-02-14T00:00:00Z</vt:filetime>
  </property>
  <property fmtid="{D5CDD505-2E9C-101B-9397-08002B2CF9AE}" pid="5" name="MSIP_Label_adaa4be3-f650-4692-881a-64ae220cbceb_Enabled">
    <vt:lpwstr>true</vt:lpwstr>
  </property>
  <property fmtid="{D5CDD505-2E9C-101B-9397-08002B2CF9AE}" pid="6" name="MSIP_Label_adaa4be3-f650-4692-881a-64ae220cbceb_SetDate">
    <vt:lpwstr>2023-03-16T04:41:40Z</vt:lpwstr>
  </property>
  <property fmtid="{D5CDD505-2E9C-101B-9397-08002B2CF9AE}" pid="7" name="MSIP_Label_adaa4be3-f650-4692-881a-64ae220cbceb_Method">
    <vt:lpwstr>Standard</vt:lpwstr>
  </property>
  <property fmtid="{D5CDD505-2E9C-101B-9397-08002B2CF9AE}" pid="8" name="MSIP_Label_adaa4be3-f650-4692-881a-64ae220cbceb_Name">
    <vt:lpwstr>OFFICIAL  Internal (External sharing)</vt:lpwstr>
  </property>
  <property fmtid="{D5CDD505-2E9C-101B-9397-08002B2CF9AE}" pid="9" name="MSIP_Label_adaa4be3-f650-4692-881a-64ae220cbceb_SiteId">
    <vt:lpwstr>5a7cc8ab-a4dc-4f9b-bf60-66714049ad62</vt:lpwstr>
  </property>
  <property fmtid="{D5CDD505-2E9C-101B-9397-08002B2CF9AE}" pid="10" name="MSIP_Label_adaa4be3-f650-4692-881a-64ae220cbceb_ActionId">
    <vt:lpwstr>5868c949-bcc0-4c77-b88d-b504e4b8b6f2</vt:lpwstr>
  </property>
  <property fmtid="{D5CDD505-2E9C-101B-9397-08002B2CF9AE}" pid="11" name="MSIP_Label_adaa4be3-f650-4692-881a-64ae220cbceb_ContentBits">
    <vt:lpwstr>0</vt:lpwstr>
  </property>
</Properties>
</file>